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C27AD7" Type="http://schemas.openxmlformats.org/officeDocument/2006/relationships/officeDocument" Target="/word/document.xml" /><Relationship Id="coreR5EC27AD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art.59 ust.4 ustawy a dnia 15 kwietnia 2011r. o działalności leczniczej (t.j. Dz.U. z 2020 r. poz. 295 z późn. zm.), jeżeli w sprawozdaniu finansowym wystąpiła strata netto kierownik samodzielnego publicznego zakładu opieki zdrowotnej, w terminie 3 miesięcy od upływu terminu do zatwierdzenia sprawozdania finansowego, sporządza program naprawczy, z uwzględnieniem raportu, o sytuacji ekonomiczno-finansowej samodzielnego publicznego zakładu opieki zdrowotnej, na okres nie dłuższy niż 3 lata, i przedstawia go podmiotowi tworzącemu w celu zatwierdzenia. W związku z powyższym podjęcie przedmiotowej uchwały jest uzasadnione.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 </w:t>
      </w: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Iwycislok</dc:creator>
  <dcterms:created xsi:type="dcterms:W3CDTF">2020-12-23T12:55:51Z</dcterms:created>
  <cp:lastModifiedBy>Sabina Schady</cp:lastModifiedBy>
  <dcterms:modified xsi:type="dcterms:W3CDTF">2021-01-04T08:23:27Z</dcterms:modified>
  <cp:revision>3</cp:revision>
  <dc:subject>w sprawie</dc:subject>
  <dc:title>Uchwała z dnia 23 grudnia 2020 r.</dc:title>
</cp:coreProperties>
</file>